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983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 судебного участка №6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5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Шатова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14:29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0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125-ФЗ «Об обязательном социальном страховании от несчастных случаев на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0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0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1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</w:t>
      </w:r>
      <w:r>
        <w:rPr>
          <w:rFonts w:ascii="Times New Roman" w:eastAsia="Times New Roman" w:hAnsi="Times New Roman" w:cs="Times New Roman"/>
          <w:sz w:val="27"/>
          <w:szCs w:val="27"/>
        </w:rPr>
        <w:t>890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порядке ч.4.1 ст.28.2 КоАП РФ; выпиской из Единого государственного реестра юридических лиц в отношен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ии </w:t>
      </w:r>
      <w:r>
        <w:rPr>
          <w:rStyle w:val="cat-OrganizationNamegrp-25rplc-3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0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1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1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6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21.07.2025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4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Style w:val="cat-UserDefinedgrp-34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>Банк получателя - РКЦ Ханты-Мансийск//УФК по Хант</w:t>
      </w:r>
      <w:r>
        <w:rPr>
          <w:rFonts w:ascii="Times New Roman" w:eastAsia="Times New Roman" w:hAnsi="Times New Roman" w:cs="Times New Roman"/>
          <w:sz w:val="27"/>
          <w:szCs w:val="27"/>
        </w:rPr>
        <w:t>ы-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7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ТОФК-007162163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7"/>
          <w:szCs w:val="27"/>
        </w:rPr>
        <w:t>Кор/счет</w:t>
      </w:r>
      <w:r>
        <w:rPr>
          <w:rFonts w:ascii="Times New Roman" w:eastAsia="Times New Roman" w:hAnsi="Times New Roman" w:cs="Times New Roman"/>
          <w:sz w:val="27"/>
          <w:szCs w:val="27"/>
        </w:rPr>
        <w:t>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6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5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 ИНН получателя – 8601002078 КПП получателя – 860101001 КБК получателя – 79711601230060003140 ОКТМО-71871000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2907250266299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Style w:val="cat-FIOgrp-22rplc-5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60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70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OrganizationNamegrp-25rplc-16">
    <w:name w:val="cat-OrganizationName grp-2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OrganizationNamegrp-25rplc-43">
    <w:name w:val="cat-OrganizationName grp-25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Sumgrp-23rplc-46">
    <w:name w:val="cat-Sum grp-23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1AC6-A5ED-427F-AAF3-CD0633E55B0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